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47BC2CAB" w14:textId="77777777" w:rsidR="00C4304B" w:rsidRPr="00C67678" w:rsidRDefault="00C4304B" w:rsidP="00C4304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Artículo 10 </w:t>
      </w:r>
    </w:p>
    <w:p w14:paraId="190A74B0" w14:textId="77777777" w:rsidR="00C4304B" w:rsidRDefault="00C4304B" w:rsidP="00C4304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Numeral 15 </w:t>
      </w:r>
    </w:p>
    <w:p w14:paraId="412B523D" w14:textId="77777777" w:rsidR="00C4304B" w:rsidRDefault="00C4304B" w:rsidP="00C4304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Ley de acceso a la información pública </w:t>
      </w:r>
      <w:bookmarkStart w:id="0" w:name="_GoBack"/>
      <w:bookmarkEnd w:id="0"/>
    </w:p>
    <w:p w14:paraId="35FEC0E2" w14:textId="77777777" w:rsidR="00C4304B" w:rsidRDefault="00C4304B" w:rsidP="00C4304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Diciembre de 2022</w:t>
      </w:r>
    </w:p>
    <w:p w14:paraId="093A65F6" w14:textId="77777777" w:rsidR="00C4304B" w:rsidRDefault="00C4304B" w:rsidP="00C4304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20664943" w14:textId="77777777" w:rsidR="00C4304B" w:rsidRDefault="00C4304B" w:rsidP="00C4304B">
      <w:pPr>
        <w:tabs>
          <w:tab w:val="left" w:pos="183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14:paraId="0F156057" w14:textId="77777777" w:rsidR="00C4304B" w:rsidRPr="00C67678" w:rsidRDefault="00C4304B" w:rsidP="00C4304B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21DAAA5" w14:textId="77777777" w:rsidR="00C4304B" w:rsidRDefault="00C4304B" w:rsidP="00C430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La información relacionada a </w:t>
      </w: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“los montos asignados, los criterios de acceso y los padrones de beneficiarios de los programas de subsidios, becas o transferencias otorgadas con fondos públicos”. </w:t>
      </w:r>
    </w:p>
    <w:p w14:paraId="072848E6" w14:textId="77777777" w:rsidR="00C4304B" w:rsidRPr="00C67678" w:rsidRDefault="00C4304B" w:rsidP="00C430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F814193" w14:textId="77777777" w:rsidR="00C4304B" w:rsidRDefault="00C4304B" w:rsidP="00C4304B">
      <w:pPr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La Dirección General de Correos y Telégrafos </w:t>
      </w:r>
      <w:r w:rsidRPr="00C67678">
        <w:rPr>
          <w:rFonts w:ascii="Arial" w:hAnsi="Arial" w:cs="Arial"/>
          <w:color w:val="000000"/>
          <w:sz w:val="23"/>
          <w:szCs w:val="23"/>
        </w:rPr>
        <w:t>hace constar que por su naturaleza jurídica no cuenta con programas del tipo mencionado en el párrafo anterior por lo que no se</w:t>
      </w:r>
      <w:r>
        <w:rPr>
          <w:rFonts w:ascii="Arial" w:hAnsi="Arial" w:cs="Arial"/>
          <w:color w:val="000000"/>
          <w:sz w:val="23"/>
          <w:szCs w:val="23"/>
        </w:rPr>
        <w:t xml:space="preserve"> genera información al respecto.</w:t>
      </w:r>
    </w:p>
    <w:p w14:paraId="2E629547" w14:textId="49B1DEC6" w:rsidR="00B1176F" w:rsidRPr="001B6CEF" w:rsidRDefault="00B1176F" w:rsidP="00C4304B">
      <w:pPr>
        <w:autoSpaceDE w:val="0"/>
        <w:autoSpaceDN w:val="0"/>
        <w:adjustRightInd w:val="0"/>
      </w:pPr>
    </w:p>
    <w:sectPr w:rsidR="00B1176F" w:rsidRPr="001B6CEF" w:rsidSect="00C153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1AC6" w14:textId="77777777" w:rsidR="00B707F5" w:rsidRDefault="00B707F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136F5CE" wp14:editId="04809E68">
          <wp:simplePos x="0" y="0"/>
          <wp:positionH relativeFrom="column">
            <wp:posOffset>-1054735</wp:posOffset>
          </wp:positionH>
          <wp:positionV relativeFrom="paragraph">
            <wp:posOffset>-436880</wp:posOffset>
          </wp:positionV>
          <wp:extent cx="7797800" cy="1009090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459" cy="1009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E6A68"/>
    <w:rsid w:val="00633C4E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C07F3"/>
    <w:rsid w:val="00BC2998"/>
    <w:rsid w:val="00BC4359"/>
    <w:rsid w:val="00C0054C"/>
    <w:rsid w:val="00C15397"/>
    <w:rsid w:val="00C153C7"/>
    <w:rsid w:val="00C4304B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4EF7E82"/>
  <w15:docId w15:val="{58ECAC7F-7990-4F6D-AA55-47623FE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Abdias Levi Mox Mox</cp:lastModifiedBy>
  <cp:revision>4</cp:revision>
  <cp:lastPrinted>2022-06-07T20:35:00Z</cp:lastPrinted>
  <dcterms:created xsi:type="dcterms:W3CDTF">2022-06-07T20:34:00Z</dcterms:created>
  <dcterms:modified xsi:type="dcterms:W3CDTF">2023-01-05T15:56:00Z</dcterms:modified>
</cp:coreProperties>
</file>